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472377">
        <w:rPr>
          <w:rFonts w:asciiTheme="minorHAnsi" w:hAnsiTheme="minorHAnsi" w:cs="Arial"/>
          <w:b/>
          <w:sz w:val="22"/>
          <w:szCs w:val="22"/>
        </w:rPr>
        <w:t>31</w:t>
      </w:r>
      <w:r w:rsidR="00691514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4F745A">
        <w:rPr>
          <w:rFonts w:asciiTheme="minorHAnsi" w:hAnsiTheme="minorHAnsi" w:cs="Arial"/>
          <w:sz w:val="22"/>
          <w:szCs w:val="22"/>
        </w:rPr>
        <w:t xml:space="preserve"> </w:t>
      </w:r>
      <w:r w:rsidR="00FC765D">
        <w:rPr>
          <w:rFonts w:asciiTheme="minorHAnsi" w:hAnsiTheme="minorHAnsi" w:cs="Arial"/>
          <w:sz w:val="22"/>
          <w:szCs w:val="22"/>
        </w:rPr>
        <w:t>08</w:t>
      </w:r>
      <w:r w:rsidR="00472377">
        <w:rPr>
          <w:rFonts w:asciiTheme="minorHAnsi" w:hAnsiTheme="minorHAnsi" w:cs="Arial"/>
          <w:sz w:val="22"/>
          <w:szCs w:val="22"/>
        </w:rPr>
        <w:t>/02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691514">
        <w:rPr>
          <w:rFonts w:asciiTheme="minorHAnsi" w:hAnsiTheme="minorHAnsi" w:cs="Arial"/>
          <w:sz w:val="22"/>
          <w:szCs w:val="22"/>
        </w:rPr>
        <w:t>a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691514">
        <w:rPr>
          <w:rFonts w:asciiTheme="minorHAnsi" w:hAnsiTheme="minorHAnsi" w:cs="Arial"/>
          <w:sz w:val="22"/>
          <w:szCs w:val="22"/>
        </w:rPr>
        <w:t xml:space="preserve">María José </w:t>
      </w:r>
      <w:proofErr w:type="spellStart"/>
      <w:r w:rsidR="00691514">
        <w:rPr>
          <w:rFonts w:asciiTheme="minorHAnsi" w:hAnsiTheme="minorHAnsi" w:cs="Arial"/>
          <w:sz w:val="22"/>
          <w:szCs w:val="22"/>
        </w:rPr>
        <w:t>Uauy</w:t>
      </w:r>
      <w:proofErr w:type="spellEnd"/>
      <w:r w:rsidR="00691514">
        <w:rPr>
          <w:rFonts w:asciiTheme="minorHAnsi" w:hAnsiTheme="minorHAnsi" w:cs="Arial"/>
          <w:sz w:val="22"/>
          <w:szCs w:val="22"/>
        </w:rPr>
        <w:t xml:space="preserve"> Cuneo</w:t>
      </w:r>
      <w:r w:rsidR="00472377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55133E">
        <w:rPr>
          <w:rFonts w:asciiTheme="minorHAnsi" w:hAnsiTheme="minorHAnsi" w:cs="Arial"/>
          <w:b/>
          <w:sz w:val="22"/>
          <w:szCs w:val="22"/>
        </w:rPr>
        <w:t>03 de marzo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55133E">
        <w:rPr>
          <w:rFonts w:asciiTheme="minorHAnsi" w:hAnsiTheme="minorHAnsi" w:cs="Arial"/>
          <w:sz w:val="22"/>
          <w:szCs w:val="22"/>
        </w:rPr>
        <w:t>08</w:t>
      </w:r>
      <w:r w:rsidR="00472377">
        <w:rPr>
          <w:rFonts w:asciiTheme="minorHAnsi" w:hAnsiTheme="minorHAnsi" w:cs="Arial"/>
          <w:sz w:val="22"/>
          <w:szCs w:val="22"/>
        </w:rPr>
        <w:t>/02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47237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000131</w:t>
      </w:r>
      <w:r w:rsidR="007B31F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127D53" w:rsidRDefault="004F745A" w:rsidP="005D66DC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Hola, - Número de niño/as que </w:t>
      </w:r>
      <w:proofErr w:type="spellStart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estan</w:t>
      </w:r>
      <w:proofErr w:type="spellEnd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bajo el control de salud en el programa chile crece contigo entre 0-6 años de la comuna de Casablanca (Hospital San José Casablanca y postas rurales (</w:t>
      </w:r>
      <w:proofErr w:type="spellStart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Lagunillas, las dichas, </w:t>
      </w:r>
      <w:proofErr w:type="spellStart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máitenes</w:t>
      </w:r>
      <w:proofErr w:type="spellEnd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), para los años 2019, 2020 y 2021. - Número de niños entre 0-6 años de la comuna de Casablanca atendidos en salas de estimulación año 2019, 2020,2021. - Número de alertas del chile crece </w:t>
      </w:r>
      <w:proofErr w:type="spellStart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crece</w:t>
      </w:r>
      <w:proofErr w:type="spellEnd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contigo de niño/as entre 0-6 años que requieren jardín 2019, 2020, 2021. - Número de niños entre 0-6 años en la comuna de Casablanca 2019, 2020, 2021. - Número de niños entre 0-6 años con diagnóstico TEA en la comuna de Casablanca 2019, 2020, 2021. - Cuántos niños/as entre 0-6 años de la comuna de Casablanca con diagnóstico TEA han sido intervenidos en salas de estimulación? </w:t>
      </w:r>
      <w:proofErr w:type="gramStart"/>
      <w:r w:rsidR="007B31F6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 2019, 2020, 2021 Muchas gracias!</w:t>
      </w:r>
      <w:proofErr w:type="gramEnd"/>
      <w:r w:rsidR="00127D53" w:rsidRPr="007B31F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472377" w:rsidRDefault="0047237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72377" w:rsidRDefault="0047237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27965" w:rsidRPr="0007401B" w:rsidRDefault="003E6909" w:rsidP="00673F4D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6E0C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6E0C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7B31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y para información concerniente a las postas rurales de la comuna, </w:t>
      </w:r>
      <w:r w:rsidR="00AC2C1B" w:rsidRPr="006E0C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 w:rsidRPr="006E0C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Memorando N° </w:t>
      </w:r>
      <w:r w:rsidR="007B31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50</w:t>
      </w:r>
      <w:r w:rsidR="008E4155" w:rsidRPr="006E0C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B05B48" w:rsidRPr="006E0C5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B31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 Directora de Salud Municipal.</w:t>
      </w:r>
    </w:p>
    <w:p w:rsidR="0007401B" w:rsidRPr="00262C78" w:rsidRDefault="0007401B" w:rsidP="00673F4D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Por otra parte, en </w:t>
      </w:r>
      <w:r w:rsidR="000272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relación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información de atención en la comuna, se responde de acuerdo a la información otorgada desde la </w:t>
      </w:r>
      <w:r w:rsidR="00262C7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Desarrollo Comunitario, bajo la Encargada Comunal del Programa, siendo la siguiente:</w:t>
      </w:r>
    </w:p>
    <w:p w:rsid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Número de niño/as que están bajo el control de salud en el programa chile crece contigo entre 0-6 años de la comuna de Casablanca (Hospital San José Casablanca y postas rurales (</w:t>
      </w:r>
      <w:proofErr w:type="spellStart"/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Quintay</w:t>
      </w:r>
      <w:proofErr w:type="spellEnd"/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, Lagunillas, Las Dichas, Maitenes), para los años 2019, 2020 y 2021. 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Respuesta: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Niños y Niñas que se encuentran bajo control de salud entre los 0 y los 6 años es de 1731 niños y niñas.</w:t>
      </w:r>
    </w:p>
    <w:p w:rsidR="00E919BD" w:rsidRDefault="00E919BD" w:rsidP="00677A15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Niños Ingresados a control de salud a nivel comunal: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En el año 2019 ingresaron: 324 niños y niñas.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En el año 2020 ingresaron: 308 niños y niñas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En el año 2021 ingresaron: 84 niños y niñas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Número de niños entre 0-6 años de la comuna de Casablanca atendidos en salas de estimulación año 2019, 2020,2021.  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2019: 338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2020: 276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2021: 307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 xml:space="preserve">Número de alertas del chile crece </w:t>
      </w:r>
      <w:proofErr w:type="spellStart"/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crece</w:t>
      </w:r>
      <w:proofErr w:type="spellEnd"/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 xml:space="preserve"> contigo de niño/as entre 0-6 años que requieren jardín 2019, 2020, 2021</w:t>
      </w:r>
      <w:r w:rsidRPr="00677A15">
        <w:rPr>
          <w:rFonts w:asciiTheme="minorHAnsi" w:hAnsiTheme="minorHAnsi" w:cs="Arial"/>
          <w:sz w:val="22"/>
          <w:szCs w:val="22"/>
          <w:lang w:val="es-CL"/>
        </w:rPr>
        <w:t> 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2019: 246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2020: 267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2021: 223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Estos datos corresponden a niños que se encuentran entre los cero y 1 año de edad.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 xml:space="preserve">Número de niños/as de 0 a 5 años que presentan ingreso prioritario a sala cuna y </w:t>
      </w:r>
      <w:r w:rsidR="00E919BD" w:rsidRPr="00677A15">
        <w:rPr>
          <w:rFonts w:asciiTheme="minorHAnsi" w:hAnsiTheme="minorHAnsi" w:cs="Arial"/>
          <w:sz w:val="22"/>
          <w:szCs w:val="22"/>
          <w:lang w:val="es-CL"/>
        </w:rPr>
        <w:t>jardín:</w:t>
      </w:r>
      <w:r w:rsidRPr="00677A15">
        <w:rPr>
          <w:rFonts w:asciiTheme="minorHAnsi" w:hAnsiTheme="minorHAnsi" w:cs="Arial"/>
          <w:sz w:val="22"/>
          <w:szCs w:val="22"/>
          <w:lang w:val="es-CL"/>
        </w:rPr>
        <w:t xml:space="preserve"> 1416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Número de niños entre 0-6 años en la comuna de Casablanca 2019, 2020, 2021:</w:t>
      </w:r>
      <w:r w:rsidRPr="00677A15">
        <w:rPr>
          <w:rFonts w:asciiTheme="minorHAnsi" w:hAnsiTheme="minorHAnsi" w:cs="Arial"/>
          <w:sz w:val="22"/>
          <w:szCs w:val="22"/>
          <w:lang w:val="es-CL"/>
        </w:rPr>
        <w:t> 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Esta información no se dispone, debido a que el sistema Chile Crece Contigo solamente tiene la cantidad de niños por rango de edad según primer control de salud. Esto es materia de CENSO.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b/>
          <w:bCs/>
          <w:sz w:val="22"/>
          <w:szCs w:val="22"/>
          <w:lang w:val="es-CL"/>
        </w:rPr>
        <w:t> </w:t>
      </w: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Número de niños entre 0-6 años con diagnóstico TEA en la comuna de Casablanca 2019, 2020, 2021. - Cuántos niños/as entre 0-6 años de la comuna de Casablanca con diagnóstico TEA han sido intervenidos en salas de estimulación? Años 2019, 2020, 2021: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b/>
          <w:bCs/>
          <w:sz w:val="22"/>
          <w:szCs w:val="22"/>
          <w:lang w:val="es-CL"/>
        </w:rPr>
        <w:t>  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Esta información no se dispone debido a que las salas de estimulación del programa Chile Crece Contigo no intervienen niños/as con este diagnóstico, ya que nuestras son solamente de carácter socioeducativas, por tanto, nuestras orientaciones técnicas no lo permiten, ya que dichos niños/as necesitan de una intervención más focalizada y de mayor profundidad y cantidad de sesiones. Solamente se atienden niños ingresados por los siguientes diagnósticos: 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- Riesgo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- Rezago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>- Retraso.</w:t>
      </w:r>
    </w:p>
    <w:p w:rsidR="00677A15" w:rsidRP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677A15" w:rsidRDefault="00677A15" w:rsidP="00677A15">
      <w:pPr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677A15">
        <w:rPr>
          <w:rFonts w:asciiTheme="minorHAnsi" w:hAnsiTheme="minorHAnsi" w:cs="Arial"/>
          <w:sz w:val="22"/>
          <w:szCs w:val="22"/>
          <w:lang w:val="es-CL"/>
        </w:rPr>
        <w:t xml:space="preserve">Se orienta a solicitar la información al hospital Carlos Van </w:t>
      </w:r>
      <w:proofErr w:type="spellStart"/>
      <w:r w:rsidRPr="00677A15">
        <w:rPr>
          <w:rFonts w:asciiTheme="minorHAnsi" w:hAnsiTheme="minorHAnsi" w:cs="Arial"/>
          <w:sz w:val="22"/>
          <w:szCs w:val="22"/>
          <w:lang w:val="es-CL"/>
        </w:rPr>
        <w:t>Buren</w:t>
      </w:r>
      <w:proofErr w:type="spellEnd"/>
      <w:r w:rsidRPr="00677A15">
        <w:rPr>
          <w:rFonts w:asciiTheme="minorHAnsi" w:hAnsiTheme="minorHAnsi" w:cs="Arial"/>
          <w:sz w:val="22"/>
          <w:szCs w:val="22"/>
          <w:lang w:val="es-CL"/>
        </w:rPr>
        <w:t xml:space="preserve"> de Valparaíso, ya que ellos son el organismo de carácter público que informa sobre dichos diagnósticos, por tanto, son ellos quienes debieran tener la información exacta de cuántos niños y niñas son diagnosticados con TEA. Por otra parte, se debe considerar que hay padres y /o cuidadores que diagnostican a sus hijos de carácter particular. </w:t>
      </w:r>
    </w:p>
    <w:p w:rsidR="00CF5F86" w:rsidRDefault="00CF5F86" w:rsidP="00CF5F86">
      <w:pPr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8010F" w:rsidRPr="0048010F" w:rsidRDefault="0048010F" w:rsidP="0048010F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>Sin perjuicio de la información enunciada en la letra b), este organismo realizó el traslado de la petición referente a las atenciones del</w:t>
      </w:r>
      <w:r w:rsidR="00CF5F86">
        <w:rPr>
          <w:rFonts w:asciiTheme="minorHAnsi" w:hAnsiTheme="minorHAnsi" w:cs="Arial"/>
          <w:sz w:val="22"/>
          <w:szCs w:val="22"/>
          <w:lang w:val="es-CL"/>
        </w:rPr>
        <w:t xml:space="preserve"> Hospital San José de Casablanca al Servicio de Salud Valparaíso San Antonio, a través de Oficio 131/2022, el cual es anexado al presente.</w:t>
      </w:r>
    </w:p>
    <w:p w:rsidR="006E0C52" w:rsidRPr="006E0C52" w:rsidRDefault="006E0C52" w:rsidP="006E0C5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0443E1">
        <w:rPr>
          <w:rFonts w:asciiTheme="minorHAnsi" w:hAnsiTheme="minorHAnsi" w:cs="Arial"/>
          <w:sz w:val="22"/>
          <w:szCs w:val="22"/>
        </w:rPr>
        <w:t xml:space="preserve">Junta de </w:t>
      </w:r>
      <w:r w:rsidR="007B31F6">
        <w:rPr>
          <w:rFonts w:asciiTheme="minorHAnsi" w:hAnsiTheme="minorHAnsi" w:cs="Arial"/>
          <w:sz w:val="22"/>
          <w:szCs w:val="22"/>
        </w:rPr>
        <w:t xml:space="preserve">doña </w:t>
      </w:r>
      <w:r w:rsidR="007B31F6">
        <w:rPr>
          <w:rFonts w:asciiTheme="minorHAnsi" w:hAnsiTheme="minorHAnsi" w:cs="Arial"/>
          <w:sz w:val="22"/>
          <w:szCs w:val="22"/>
        </w:rPr>
        <w:t xml:space="preserve">María José </w:t>
      </w:r>
      <w:proofErr w:type="spellStart"/>
      <w:r w:rsidR="007B31F6">
        <w:rPr>
          <w:rFonts w:asciiTheme="minorHAnsi" w:hAnsiTheme="minorHAnsi" w:cs="Arial"/>
          <w:sz w:val="22"/>
          <w:szCs w:val="22"/>
        </w:rPr>
        <w:t>Uauy</w:t>
      </w:r>
      <w:proofErr w:type="spellEnd"/>
      <w:r w:rsidR="007B31F6">
        <w:rPr>
          <w:rFonts w:asciiTheme="minorHAnsi" w:hAnsiTheme="minorHAnsi" w:cs="Arial"/>
          <w:sz w:val="22"/>
          <w:szCs w:val="22"/>
        </w:rPr>
        <w:t xml:space="preserve"> Cuneo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07401B">
        <w:rPr>
          <w:rFonts w:asciiTheme="minorHAnsi" w:hAnsiTheme="minorHAnsi" w:cs="Arial"/>
          <w:sz w:val="22"/>
          <w:szCs w:val="22"/>
        </w:rPr>
        <w:t xml:space="preserve">doña </w:t>
      </w:r>
      <w:r w:rsidR="0007401B">
        <w:rPr>
          <w:rFonts w:asciiTheme="minorHAnsi" w:hAnsiTheme="minorHAnsi" w:cs="Arial"/>
          <w:sz w:val="22"/>
          <w:szCs w:val="22"/>
        </w:rPr>
        <w:t xml:space="preserve">María José </w:t>
      </w:r>
      <w:proofErr w:type="spellStart"/>
      <w:r w:rsidR="0007401B">
        <w:rPr>
          <w:rFonts w:asciiTheme="minorHAnsi" w:hAnsiTheme="minorHAnsi" w:cs="Arial"/>
          <w:sz w:val="22"/>
          <w:szCs w:val="22"/>
        </w:rPr>
        <w:t>Uauy</w:t>
      </w:r>
      <w:proofErr w:type="spellEnd"/>
      <w:r w:rsidR="0007401B">
        <w:rPr>
          <w:rFonts w:asciiTheme="minorHAnsi" w:hAnsiTheme="minorHAnsi" w:cs="Arial"/>
          <w:sz w:val="22"/>
          <w:szCs w:val="22"/>
        </w:rPr>
        <w:t xml:space="preserve"> Cuneo</w:t>
      </w:r>
      <w:r w:rsidR="00CA24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07401B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07401B" w:rsidRPr="0007401B">
        <w:rPr>
          <w:rFonts w:asciiTheme="minorHAnsi" w:hAnsiTheme="minorHAnsi" w:cs="Arial"/>
          <w:sz w:val="18"/>
          <w:szCs w:val="18"/>
        </w:rPr>
        <w:t xml:space="preserve">María José </w:t>
      </w:r>
      <w:proofErr w:type="spellStart"/>
      <w:r w:rsidR="0007401B" w:rsidRPr="0007401B">
        <w:rPr>
          <w:rFonts w:asciiTheme="minorHAnsi" w:hAnsiTheme="minorHAnsi" w:cs="Arial"/>
          <w:sz w:val="18"/>
          <w:szCs w:val="18"/>
        </w:rPr>
        <w:t>Uauy</w:t>
      </w:r>
      <w:proofErr w:type="spellEnd"/>
      <w:r w:rsidR="0007401B" w:rsidRPr="0007401B">
        <w:rPr>
          <w:rFonts w:asciiTheme="minorHAnsi" w:hAnsiTheme="minorHAnsi" w:cs="Arial"/>
          <w:sz w:val="18"/>
          <w:szCs w:val="18"/>
        </w:rPr>
        <w:t xml:space="preserve"> Cuneo</w:t>
      </w:r>
      <w:r w:rsidR="0022328E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07401B">
        <w:rPr>
          <w:rFonts w:asciiTheme="minorHAnsi" w:hAnsiTheme="minorHAnsi"/>
          <w:b/>
          <w:sz w:val="18"/>
          <w:szCs w:val="18"/>
        </w:rPr>
        <w:t>315</w:t>
      </w:r>
    </w:p>
    <w:sectPr w:rsidR="001A4726" w:rsidRPr="005F012B" w:rsidSect="00C7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96" w:rsidRDefault="00B31896" w:rsidP="00566808">
      <w:r>
        <w:separator/>
      </w:r>
    </w:p>
  </w:endnote>
  <w:endnote w:type="continuationSeparator" w:id="0">
    <w:p w:rsidR="00B31896" w:rsidRDefault="00B31896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96" w:rsidRDefault="00B31896" w:rsidP="00566808">
      <w:r>
        <w:separator/>
      </w:r>
    </w:p>
  </w:footnote>
  <w:footnote w:type="continuationSeparator" w:id="0">
    <w:p w:rsidR="00B31896" w:rsidRDefault="00B31896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27253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56B2B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01B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0FC2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2C78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3717"/>
    <w:rsid w:val="00463915"/>
    <w:rsid w:val="004642B4"/>
    <w:rsid w:val="0046489F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6C0"/>
    <w:rsid w:val="0048010F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6401"/>
    <w:rsid w:val="005569A9"/>
    <w:rsid w:val="005579FF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77A15"/>
    <w:rsid w:val="00680B8B"/>
    <w:rsid w:val="00681CBB"/>
    <w:rsid w:val="00683AB2"/>
    <w:rsid w:val="006846BF"/>
    <w:rsid w:val="00685075"/>
    <w:rsid w:val="00685CDD"/>
    <w:rsid w:val="006907C9"/>
    <w:rsid w:val="00690F48"/>
    <w:rsid w:val="00691514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055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1F6"/>
    <w:rsid w:val="007B3CEA"/>
    <w:rsid w:val="007B58FD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1402"/>
    <w:rsid w:val="009536F1"/>
    <w:rsid w:val="0095375A"/>
    <w:rsid w:val="00957A1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5F86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097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19B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18749F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1844-B912-4493-A901-D63B67D5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2022-03-03T15:13:00Z</cp:lastPrinted>
  <dcterms:created xsi:type="dcterms:W3CDTF">2022-03-03T14:57:00Z</dcterms:created>
  <dcterms:modified xsi:type="dcterms:W3CDTF">2022-03-03T15:17:00Z</dcterms:modified>
</cp:coreProperties>
</file>